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C8FD31" w14:textId="4299288F" w:rsidR="00E26424" w:rsidRDefault="00FF2D63" w:rsidP="005613AE">
      <w:pPr>
        <w:spacing w:before="120" w:after="120" w:line="240" w:lineRule="auto"/>
        <w:ind w:right="120"/>
        <w:jc w:val="both"/>
        <w:rPr>
          <w:rFonts w:ascii="Helvetica Neue" w:eastAsia="Helvetica Neue" w:hAnsi="Helvetica Neue" w:cs="Helvetica Neue"/>
          <w:sz w:val="24"/>
          <w:szCs w:val="24"/>
        </w:rPr>
      </w:pPr>
      <w:sdt>
        <w:sdtPr>
          <w:tag w:val="goog_rdk_37"/>
          <w:id w:val="1314919173"/>
        </w:sdtPr>
        <w:sdtEndPr/>
        <w:sdtContent>
          <w:r w:rsidR="00171235">
            <w:rPr>
              <w:rFonts w:ascii="Arial" w:eastAsia="Arial" w:hAnsi="Arial" w:cs="Arial"/>
              <w:sz w:val="24"/>
              <w:szCs w:val="24"/>
            </w:rPr>
            <w:t>.</w:t>
          </w:r>
        </w:sdtContent>
      </w:sdt>
    </w:p>
    <w:p w14:paraId="3655626E" w14:textId="77777777" w:rsidR="00E26424" w:rsidRDefault="00E26424">
      <w:pPr>
        <w:pBdr>
          <w:top w:val="nil"/>
          <w:left w:val="nil"/>
          <w:bottom w:val="nil"/>
          <w:right w:val="nil"/>
          <w:between w:val="nil"/>
        </w:pBdr>
        <w:spacing w:before="120" w:after="120" w:line="240" w:lineRule="auto"/>
        <w:ind w:left="720" w:right="120"/>
        <w:jc w:val="both"/>
        <w:rPr>
          <w:rFonts w:ascii="Helvetica Neue" w:eastAsia="Helvetica Neue" w:hAnsi="Helvetica Neue" w:cs="Helvetica Neue"/>
          <w:sz w:val="24"/>
          <w:szCs w:val="24"/>
        </w:rPr>
      </w:pPr>
    </w:p>
    <w:p w14:paraId="04ADF13A" w14:textId="77777777" w:rsidR="00E26424" w:rsidRDefault="00171235">
      <w:pPr>
        <w:spacing w:after="120" w:line="276" w:lineRule="auto"/>
        <w:jc w:val="center"/>
        <w:rPr>
          <w:rFonts w:ascii="Helvetica Neue" w:eastAsia="Helvetica Neue" w:hAnsi="Helvetica Neue" w:cs="Helvetica Neue"/>
          <w:b/>
          <w:sz w:val="24"/>
          <w:szCs w:val="24"/>
        </w:rPr>
      </w:pPr>
      <w:r>
        <w:rPr>
          <w:rFonts w:ascii="Helvetica Neue" w:eastAsia="Helvetica Neue" w:hAnsi="Helvetica Neue" w:cs="Helvetica Neue"/>
          <w:b/>
          <w:sz w:val="24"/>
          <w:szCs w:val="24"/>
        </w:rPr>
        <w:t xml:space="preserve">ANEXO IV </w:t>
      </w:r>
    </w:p>
    <w:p w14:paraId="200BFAB1" w14:textId="77777777" w:rsidR="00E26424" w:rsidRDefault="00171235">
      <w:pPr>
        <w:spacing w:after="120" w:line="276" w:lineRule="auto"/>
        <w:ind w:left="100"/>
        <w:jc w:val="center"/>
        <w:rPr>
          <w:rFonts w:ascii="Helvetica Neue" w:eastAsia="Helvetica Neue" w:hAnsi="Helvetica Neue" w:cs="Helvetica Neue"/>
          <w:b/>
          <w:sz w:val="24"/>
          <w:szCs w:val="24"/>
        </w:rPr>
      </w:pPr>
      <w:r>
        <w:rPr>
          <w:rFonts w:ascii="Helvetica Neue" w:eastAsia="Helvetica Neue" w:hAnsi="Helvetica Neue" w:cs="Helvetica Neue"/>
          <w:b/>
          <w:sz w:val="24"/>
          <w:szCs w:val="24"/>
        </w:rPr>
        <w:t>TERMO DE EXECUÇÃO CULTURAL</w:t>
      </w:r>
    </w:p>
    <w:p w14:paraId="069D09C2" w14:textId="77777777" w:rsidR="00E26424" w:rsidRDefault="00171235">
      <w:pPr>
        <w:spacing w:after="12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TERMO DE EXECUÇÃO CULTURAL Nº _____________________/2024 TENDO POR OBJETO A CONCESSÃO DE APOIO FINANCEIRO A AÇÕES CULTURAIS CONTEMPLADAS PELO EDITAL </w:t>
      </w:r>
      <w:r>
        <w:rPr>
          <w:rFonts w:ascii="Helvetica Neue" w:eastAsia="Helvetica Neue" w:hAnsi="Helvetica Neue" w:cs="Helvetica Neue"/>
          <w:color w:val="FF0000"/>
          <w:sz w:val="24"/>
          <w:szCs w:val="24"/>
        </w:rPr>
        <w:t>nº XX/2024</w:t>
      </w:r>
      <w:r>
        <w:rPr>
          <w:rFonts w:ascii="Helvetica Neue" w:eastAsia="Helvetica Neue" w:hAnsi="Helvetica Neue" w:cs="Helvetica Neue"/>
          <w:i/>
          <w:color w:val="FF0000"/>
          <w:sz w:val="24"/>
          <w:szCs w:val="24"/>
        </w:rPr>
        <w:t xml:space="preserve"> </w:t>
      </w:r>
      <w:r>
        <w:rPr>
          <w:rFonts w:ascii="Helvetica Neue" w:eastAsia="Helvetica Neue" w:hAnsi="Helvetica Neue" w:cs="Helvetica Neue"/>
          <w:i/>
          <w:sz w:val="24"/>
          <w:szCs w:val="24"/>
        </w:rPr>
        <w:t>–,</w:t>
      </w:r>
      <w:r>
        <w:rPr>
          <w:rFonts w:ascii="Helvetica Neue" w:eastAsia="Helvetica Neue" w:hAnsi="Helvetica Neue" w:cs="Helvetica Neue"/>
          <w:sz w:val="24"/>
          <w:szCs w:val="24"/>
        </w:rPr>
        <w:t xml:space="preserve"> NOS TERMOS DA LEI Nº 14.399/2022 (PNAB), DA LEI Nº 14.903/2024 (MARCO REGULATÓRIO DO FOMENTO À CULTURA), DO DECRETO N. 11.740/2023 (DECRETO PNAB) E DO DECRETO Nº 11.453/2023 (DECRETO DE FOMENTO).</w:t>
      </w:r>
    </w:p>
    <w:p w14:paraId="518C0675" w14:textId="77777777" w:rsidR="00E26424" w:rsidRDefault="00E26424">
      <w:pPr>
        <w:spacing w:after="100" w:line="276" w:lineRule="auto"/>
        <w:ind w:left="100"/>
        <w:jc w:val="both"/>
        <w:rPr>
          <w:rFonts w:ascii="Helvetica Neue" w:eastAsia="Helvetica Neue" w:hAnsi="Helvetica Neue" w:cs="Helvetica Neue"/>
          <w:sz w:val="24"/>
          <w:szCs w:val="24"/>
        </w:rPr>
      </w:pPr>
    </w:p>
    <w:p w14:paraId="03E08C13"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1. PARTES</w:t>
      </w:r>
    </w:p>
    <w:p w14:paraId="586A7903"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1.1 O Município de Belmonte - BA, neste ato representado pelo  Secretário municipal de Desenvolvimento Econômico Cultura e Turismo de Belmonte, Senhor(a)______________________________________________, e o(a) AGENTE CULTURAL_____________________________________, portador(a) do RG nº _____________________, expedida em _____________________, CPF nº [INDICAR Nº DO CPF], residente e domiciliado(a) à __________________________________, CEP: __________________, telefones: ________________________ resolvem firmar o presente Termo de Execução Cultural, de acordo com as seguintes condições:</w:t>
      </w:r>
    </w:p>
    <w:p w14:paraId="07B14634" w14:textId="77777777" w:rsidR="00E26424" w:rsidRDefault="00E26424">
      <w:pPr>
        <w:spacing w:after="100" w:line="276" w:lineRule="auto"/>
        <w:ind w:left="100"/>
        <w:jc w:val="both"/>
        <w:rPr>
          <w:rFonts w:ascii="Helvetica Neue" w:eastAsia="Helvetica Neue" w:hAnsi="Helvetica Neue" w:cs="Helvetica Neue"/>
          <w:sz w:val="24"/>
          <w:szCs w:val="24"/>
        </w:rPr>
      </w:pPr>
    </w:p>
    <w:p w14:paraId="36DEF1C3"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2. PROCEDIMENTO</w:t>
      </w:r>
    </w:p>
    <w:p w14:paraId="21ED9A83" w14:textId="77777777" w:rsidR="00E26424" w:rsidRDefault="00171235">
      <w:pPr>
        <w:spacing w:after="12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2.1 Este Termo de Execução Cultural é instrumento da modalidade de fomento à execução de ações culturais, celebrado com agente cultural selecionado nos termos da LEI Nº 14.399/2022 (PNAB), da LEI Nº 14.903/2024 (Marco regulatório do fomento à cultura), do DECRETO N. 11.740/2023 (DECRETO PNAB) e do DECRETO Nº 11.453/2023 (DECRETO DE FOMENTO).</w:t>
      </w:r>
    </w:p>
    <w:p w14:paraId="334D50CF"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3. OBJETO</w:t>
      </w:r>
    </w:p>
    <w:p w14:paraId="3821D809"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3.1. Este Termo de Execução Cultural tem por objeto a concessão de apoio financeiro ao projeto cultural (NOME DO </w:t>
      </w:r>
      <w:proofErr w:type="gramStart"/>
      <w:r>
        <w:rPr>
          <w:rFonts w:ascii="Helvetica Neue" w:eastAsia="Helvetica Neue" w:hAnsi="Helvetica Neue" w:cs="Helvetica Neue"/>
          <w:sz w:val="24"/>
          <w:szCs w:val="24"/>
        </w:rPr>
        <w:t>PROJETO)_</w:t>
      </w:r>
      <w:proofErr w:type="gramEnd"/>
      <w:r>
        <w:rPr>
          <w:rFonts w:ascii="Helvetica Neue" w:eastAsia="Helvetica Neue" w:hAnsi="Helvetica Neue" w:cs="Helvetica Neue"/>
          <w:sz w:val="24"/>
          <w:szCs w:val="24"/>
        </w:rPr>
        <w:t xml:space="preserve">_________________________________, contemplado no conforme processo administrativo nº (NÚMERO DO PROCESSO).__________________________________ </w:t>
      </w:r>
    </w:p>
    <w:p w14:paraId="0569AC03"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 xml:space="preserve">4. RECURSOS FINANCEIROS </w:t>
      </w:r>
    </w:p>
    <w:p w14:paraId="41F8A14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4.1. Os recursos financeiros para a execução do presente termo totalizam o montante de R$ (NÚMERO </w:t>
      </w:r>
      <w:r>
        <w:rPr>
          <w:rFonts w:ascii="Helvetica Neue" w:eastAsia="Helvetica Neue" w:hAnsi="Helvetica Neue" w:cs="Helvetica Neue"/>
          <w:sz w:val="24"/>
          <w:szCs w:val="24"/>
        </w:rPr>
        <w:lastRenderedPageBreak/>
        <w:t>ARÁBICO)_________________________________________________________ ([INDICAR VALOR POR EXTENSO)_______________________________________________.</w:t>
      </w:r>
    </w:p>
    <w:p w14:paraId="7A50888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4.2. Serão transferidos à conta do(a) AGENTE CULTURAL:__________________________________________________________, especialmente aberta no [NOME DO BANCO]______________________, Agência [INDICAR AGÊNCIA]______________________, Conta Corrente nº [INDICAR CONTA],_____________________ para recebimento e movimentação.</w:t>
      </w:r>
    </w:p>
    <w:p w14:paraId="7E933594"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5. APLICAÇÃO DOS RECURSOS</w:t>
      </w:r>
    </w:p>
    <w:p w14:paraId="707B5CF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5.1 Os rendimentos de ativos financeiros poderão ser aplicados para o alcance do objeto, sem a necessidade de autorização prévia.</w:t>
      </w:r>
    </w:p>
    <w:p w14:paraId="47AB10E1"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6. OBRIGAÇÕES</w:t>
      </w:r>
    </w:p>
    <w:p w14:paraId="08B35FC8" w14:textId="77777777" w:rsidR="00E26424" w:rsidRDefault="00171235">
      <w:pPr>
        <w:spacing w:after="100" w:line="276" w:lineRule="auto"/>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6.1 São </w:t>
      </w:r>
      <w:r w:rsidR="0045248E">
        <w:rPr>
          <w:rFonts w:ascii="Helvetica Neue" w:eastAsia="Helvetica Neue" w:hAnsi="Helvetica Neue" w:cs="Helvetica Neue"/>
          <w:sz w:val="24"/>
          <w:szCs w:val="24"/>
        </w:rPr>
        <w:t>obrigações da Secretaria</w:t>
      </w:r>
      <w:r>
        <w:rPr>
          <w:rFonts w:ascii="Helvetica Neue" w:eastAsia="Helvetica Neue" w:hAnsi="Helvetica Neue" w:cs="Helvetica Neue"/>
          <w:sz w:val="24"/>
          <w:szCs w:val="24"/>
        </w:rPr>
        <w:t xml:space="preserve"> de Desenvolvimento Econômico Cultura e Turismo:</w:t>
      </w:r>
    </w:p>
    <w:p w14:paraId="646E3F8A"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transferir os recursos ao(a) AGENTE CULTURAL; </w:t>
      </w:r>
    </w:p>
    <w:p w14:paraId="748880B3"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orientar o(a) AGENTE CULTURAL sobre o procedimento para a prestação de informações dos recursos concedidos; </w:t>
      </w:r>
    </w:p>
    <w:p w14:paraId="33BE3EA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III) analisar e emitir parecer sobre os relatórios e sobre a prestação de informações apresentados pelo(a) AGENTE CULTURAL; </w:t>
      </w:r>
    </w:p>
    <w:p w14:paraId="247553A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IV) zelar pelo fiel cumprimento deste termo de execução cultural; </w:t>
      </w:r>
    </w:p>
    <w:p w14:paraId="4417B544"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V) adotar medidas saneadoras e corretivas quando houver inadimplemento;</w:t>
      </w:r>
    </w:p>
    <w:p w14:paraId="5C91CBFE"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VI) monitorar o cumprimento pelo(a) AGENTE CULTURAL das obrigações previstas na CLÁUSULA 6.2.</w:t>
      </w:r>
    </w:p>
    <w:p w14:paraId="604BA464"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6.2 São obrigações do(a) AGENTE CULTURAL: </w:t>
      </w:r>
    </w:p>
    <w:p w14:paraId="50EE775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executar a ação cultural aprovada; </w:t>
      </w:r>
    </w:p>
    <w:p w14:paraId="6765AE88"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aplicar os recursos concedidos na realização da ação cultural; </w:t>
      </w:r>
    </w:p>
    <w:p w14:paraId="42E57464"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III) manter, obrigatória e exclusivamente, os recursos financeiros depositados na conta especialmente aberta para o Termo de Execução Cultural;</w:t>
      </w:r>
    </w:p>
    <w:p w14:paraId="77AF0A2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IV) facilitar o monitoramento, o controle e supervisão do termo de execução cultural bem como o acesso ao local de realização da ação cultural;</w:t>
      </w:r>
    </w:p>
    <w:p w14:paraId="112459C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V) prestar informações à Secretaria de Desenvolvimento Econômico Cultura e Turismo por meio de Relatório de Execução do Objeto, apresentado no prazo máximo de 30 dias contados do término da vigência do termo de execução cultural;</w:t>
      </w:r>
    </w:p>
    <w:p w14:paraId="3A93D26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lastRenderedPageBreak/>
        <w:t xml:space="preserve">VI) atender a qualquer solicitação regular feita pela Secretaria de Desenvolvimento Econômico Cultura e Turismo a contar do recebimento da notificação; </w:t>
      </w:r>
    </w:p>
    <w:p w14:paraId="53FC518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VII) divulgar nos meios de comunicação a informação de que a ação cultural aprovada é apoiada com recursos da Política Nacional Aldir Blanc de Fomento à Cultura, incluindo as marcas do Governo federal, de acordo com as orientações técnicas do manual de aplicação de marcas divulgado pelo Ministério da Cultura, observando as vedações existentes na Lei nº 9.504/1997 (Lei das Eleições) nos três meses que antecedem as eleições;</w:t>
      </w:r>
    </w:p>
    <w:p w14:paraId="11CF744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VIII) não realizar despesa em data anterior ou posterior à vigência deste termo de execução cultural; </w:t>
      </w:r>
    </w:p>
    <w:p w14:paraId="5EAD1E1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IX) guardar a documentação referente à prestação de informações e financeira pelo prazo de 5 anos, contados do fim da vigência deste Termo de Execução Cultural; </w:t>
      </w:r>
    </w:p>
    <w:p w14:paraId="32681EB7"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X) não utilizar os recursos para finalidade diversa da estabelecida no projeto cultural;</w:t>
      </w:r>
    </w:p>
    <w:p w14:paraId="5F6F1B7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XI) encaminhar os documentos do novo dirigente, bem como nova ata de eleição ou termo de posse, em caso de falecimento ou substituição de dirigente da entidade cultural, caso seja agente cultural pessoa jurídica. </w:t>
      </w:r>
    </w:p>
    <w:p w14:paraId="447D548F" w14:textId="77777777" w:rsidR="00E26424" w:rsidRDefault="00E26424">
      <w:pPr>
        <w:spacing w:after="100" w:line="276" w:lineRule="auto"/>
        <w:ind w:left="100"/>
        <w:jc w:val="both"/>
        <w:rPr>
          <w:rFonts w:ascii="Helvetica Neue" w:eastAsia="Helvetica Neue" w:hAnsi="Helvetica Neue" w:cs="Helvetica Neue"/>
          <w:color w:val="FF0000"/>
          <w:sz w:val="24"/>
          <w:szCs w:val="24"/>
        </w:rPr>
      </w:pPr>
    </w:p>
    <w:p w14:paraId="1721D1DC"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7. PRESTAÇÃO DE INFORMAÇÕES EM RELATÓRIO DE EXECUÇÃO DO OBJETO</w:t>
      </w:r>
    </w:p>
    <w:p w14:paraId="077CAB95" w14:textId="77777777" w:rsidR="00E26424" w:rsidRDefault="00E26424">
      <w:pPr>
        <w:spacing w:after="100" w:line="276" w:lineRule="auto"/>
        <w:ind w:left="100"/>
        <w:jc w:val="both"/>
        <w:rPr>
          <w:rFonts w:ascii="Helvetica Neue" w:eastAsia="Helvetica Neue" w:hAnsi="Helvetica Neue" w:cs="Helvetica Neue"/>
          <w:color w:val="FF0000"/>
          <w:sz w:val="24"/>
          <w:szCs w:val="24"/>
        </w:rPr>
      </w:pPr>
    </w:p>
    <w:p w14:paraId="54CF319E"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7.1 O agente cultural prestará contas à administração pública por meio da apresentação de Relatório de Objeto da Execução Cultural, no prazo de até 120 dias a contar do fim da vigência deste Termo de Execução Cultural. </w:t>
      </w:r>
    </w:p>
    <w:p w14:paraId="2BAF66F9"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7.1.1 O Relatório de Objeto da Execução Cultural deverá:</w:t>
      </w:r>
    </w:p>
    <w:p w14:paraId="030E1981"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 </w:t>
      </w:r>
      <w:proofErr w:type="gramStart"/>
      <w:r>
        <w:rPr>
          <w:rFonts w:ascii="Helvetica Neue" w:eastAsia="Helvetica Neue" w:hAnsi="Helvetica Neue" w:cs="Helvetica Neue"/>
          <w:sz w:val="24"/>
          <w:szCs w:val="24"/>
        </w:rPr>
        <w:t>comprovar</w:t>
      </w:r>
      <w:proofErr w:type="gramEnd"/>
      <w:r>
        <w:rPr>
          <w:rFonts w:ascii="Helvetica Neue" w:eastAsia="Helvetica Neue" w:hAnsi="Helvetica Neue" w:cs="Helvetica Neue"/>
          <w:sz w:val="24"/>
          <w:szCs w:val="24"/>
        </w:rPr>
        <w:t xml:space="preserve"> que foram alcançados os resultados da ação cultural;</w:t>
      </w:r>
    </w:p>
    <w:p w14:paraId="4EF5226F"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conter</w:t>
      </w:r>
      <w:proofErr w:type="gramEnd"/>
      <w:r>
        <w:rPr>
          <w:rFonts w:ascii="Helvetica Neue" w:eastAsia="Helvetica Neue" w:hAnsi="Helvetica Neue" w:cs="Helvetica Neue"/>
          <w:sz w:val="24"/>
          <w:szCs w:val="24"/>
        </w:rPr>
        <w:t xml:space="preserve"> a descrição das ações desenvolvidas para o cumprimento do objeto; </w:t>
      </w:r>
    </w:p>
    <w:p w14:paraId="2D36DB7D"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III - ter anexados documentos de comprovação do cumprimento do objeto, tais como: Declarações de realização dos eventos, com registro fotográfico ou audiovisual, clipping de matérias jornalísticas, releases, folders, catálogos, panfletos, filipetas, bem como outros documentos pertinentes à execução do projeto. </w:t>
      </w:r>
    </w:p>
    <w:p w14:paraId="2C8F08C1"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7.2 O agente público responsável pela análise do Relatório de Objeto da Execução Cultural deverá elaborar parecer técnico em que concluirá:</w:t>
      </w:r>
    </w:p>
    <w:p w14:paraId="064F8C63"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lastRenderedPageBreak/>
        <w:t xml:space="preserve">I - </w:t>
      </w:r>
      <w:proofErr w:type="gramStart"/>
      <w:r>
        <w:rPr>
          <w:rFonts w:ascii="Helvetica Neue" w:eastAsia="Helvetica Neue" w:hAnsi="Helvetica Neue" w:cs="Helvetica Neue"/>
          <w:sz w:val="24"/>
          <w:szCs w:val="24"/>
        </w:rPr>
        <w:t>pelo</w:t>
      </w:r>
      <w:proofErr w:type="gramEnd"/>
      <w:r>
        <w:rPr>
          <w:rFonts w:ascii="Helvetica Neue" w:eastAsia="Helvetica Neue" w:hAnsi="Helvetica Neue" w:cs="Helvetica Neue"/>
          <w:sz w:val="24"/>
          <w:szCs w:val="24"/>
        </w:rPr>
        <w:t xml:space="preserve"> cumprimento integral do objeto ou pela suficiência do cumprimento parcial devidamente justificada e providenciará imediato encaminhamento do processo à autoridade julgadora;</w:t>
      </w:r>
    </w:p>
    <w:p w14:paraId="34C9754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pela</w:t>
      </w:r>
      <w:proofErr w:type="gramEnd"/>
      <w:r>
        <w:rPr>
          <w:rFonts w:ascii="Helvetica Neue" w:eastAsia="Helvetica Neue" w:hAnsi="Helvetica Neue" w:cs="Helvetica Neue"/>
          <w:sz w:val="24"/>
          <w:szCs w:val="24"/>
        </w:rPr>
        <w:t xml:space="preserve"> necessidade de o agente cultural apresentar documentação complementar relativa ao cumprimento do objeto;</w:t>
      </w:r>
    </w:p>
    <w:p w14:paraId="2FA3F67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III - pela necessidade de o agente cultural apresentar Relatório Financeiro da Execução Cultural, caso considere os elementos contidos no Relatório de Objeto da Execução Cultural e na documentação complementar insuficientes para demonstrar o cumprimento integral do objeto ou o cumprimento parcial justificado.</w:t>
      </w:r>
    </w:p>
    <w:p w14:paraId="4031E687"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7.3 Após o recebimento do processo pelo agente público de que trata o item 7.2, autoridade responsável pelo julgamento da prestação de informações poderá:</w:t>
      </w:r>
    </w:p>
    <w:p w14:paraId="55659997"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 </w:t>
      </w:r>
      <w:proofErr w:type="gramStart"/>
      <w:r>
        <w:rPr>
          <w:rFonts w:ascii="Helvetica Neue" w:eastAsia="Helvetica Neue" w:hAnsi="Helvetica Neue" w:cs="Helvetica Neue"/>
          <w:sz w:val="24"/>
          <w:szCs w:val="24"/>
        </w:rPr>
        <w:t>solicitar</w:t>
      </w:r>
      <w:proofErr w:type="gramEnd"/>
      <w:r>
        <w:rPr>
          <w:rFonts w:ascii="Helvetica Neue" w:eastAsia="Helvetica Neue" w:hAnsi="Helvetica Neue" w:cs="Helvetica Neue"/>
          <w:sz w:val="24"/>
          <w:szCs w:val="24"/>
        </w:rPr>
        <w:t xml:space="preserve"> documentação complementar; </w:t>
      </w:r>
    </w:p>
    <w:p w14:paraId="35C219D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aprovar</w:t>
      </w:r>
      <w:proofErr w:type="gramEnd"/>
      <w:r>
        <w:rPr>
          <w:rFonts w:ascii="Helvetica Neue" w:eastAsia="Helvetica Neue" w:hAnsi="Helvetica Neue" w:cs="Helvetica Neue"/>
          <w:sz w:val="24"/>
          <w:szCs w:val="24"/>
        </w:rPr>
        <w:t xml:space="preserve"> sem ressalvas a prestação de contas, quando estiver convencida do cumprimento integral do objeto;</w:t>
      </w:r>
    </w:p>
    <w:p w14:paraId="7264FFE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III - aprovar com ressalvas a prestação de contas, quando for comprovada a realização da ação cultural, mas verificada inadequação na execução do objeto ou na execução financeira, sem má-fé; </w:t>
      </w:r>
    </w:p>
    <w:p w14:paraId="27B920DF"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IV - </w:t>
      </w:r>
      <w:proofErr w:type="gramStart"/>
      <w:r>
        <w:rPr>
          <w:rFonts w:ascii="Helvetica Neue" w:eastAsia="Helvetica Neue" w:hAnsi="Helvetica Neue" w:cs="Helvetica Neue"/>
          <w:sz w:val="24"/>
          <w:szCs w:val="24"/>
        </w:rPr>
        <w:t>rejeitar</w:t>
      </w:r>
      <w:proofErr w:type="gramEnd"/>
      <w:r>
        <w:rPr>
          <w:rFonts w:ascii="Helvetica Neue" w:eastAsia="Helvetica Neue" w:hAnsi="Helvetica Neue" w:cs="Helvetica Neue"/>
          <w:sz w:val="24"/>
          <w:szCs w:val="24"/>
        </w:rPr>
        <w:t xml:space="preserve"> a prestação de contas, total ou parcialmente, e determinar uma das seguintes medidas:</w:t>
      </w:r>
    </w:p>
    <w:p w14:paraId="042EE574"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a) devolução de recursos em valor proporcional à inexecução de objeto verificada; </w:t>
      </w:r>
    </w:p>
    <w:p w14:paraId="16254FD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b) pagamento de multa, nos termos do regulamento; </w:t>
      </w:r>
    </w:p>
    <w:p w14:paraId="30747D2A"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c) suspensão da possibilidade de celebrar novo instrumento do regime próprio de fomento à cultura pelo prazo de 180 (cento e oitenta) a 540 (quinhentos e quarenta) dias. </w:t>
      </w:r>
    </w:p>
    <w:p w14:paraId="7FF2857A"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7.4 O Relatório Financeiro da Execução Cultural será exigido, independente da modalidade inicial de prestação de informações (in loco ou em relatório de execução do objeto), somente nas seguintes hipóteses:</w:t>
      </w:r>
    </w:p>
    <w:p w14:paraId="15F795A1"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 </w:t>
      </w:r>
      <w:proofErr w:type="gramStart"/>
      <w:r>
        <w:rPr>
          <w:rFonts w:ascii="Helvetica Neue" w:eastAsia="Helvetica Neue" w:hAnsi="Helvetica Neue" w:cs="Helvetica Neue"/>
          <w:sz w:val="24"/>
          <w:szCs w:val="24"/>
        </w:rPr>
        <w:t>quando</w:t>
      </w:r>
      <w:proofErr w:type="gramEnd"/>
      <w:r>
        <w:rPr>
          <w:rFonts w:ascii="Helvetica Neue" w:eastAsia="Helvetica Neue" w:hAnsi="Helvetica Neue" w:cs="Helvetica Neue"/>
          <w:sz w:val="24"/>
          <w:szCs w:val="24"/>
        </w:rPr>
        <w:t xml:space="preserve"> não estiver comprovado o cumprimento do objeto, observados os procedimentos previstos nos itens anteriores; ou</w:t>
      </w:r>
    </w:p>
    <w:p w14:paraId="5634022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quando</w:t>
      </w:r>
      <w:proofErr w:type="gramEnd"/>
      <w:r>
        <w:rPr>
          <w:rFonts w:ascii="Helvetica Neue" w:eastAsia="Helvetica Neue" w:hAnsi="Helvetica Neue" w:cs="Helvetica Neue"/>
          <w:sz w:val="24"/>
          <w:szCs w:val="24"/>
        </w:rPr>
        <w:t xml:space="preserve"> for recebida, pela administração pública, denúncia de irregularidade na execução da ação cultural, mediante juízo de admissibilidade que avaliará os elementos fáticos apresentados.</w:t>
      </w:r>
    </w:p>
    <w:p w14:paraId="244362A5"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7.4.1 O prazo para apresentação do Relatório Financeiro da Execução Cultural será de 120 dias contados do recebimento da notificação.</w:t>
      </w:r>
    </w:p>
    <w:p w14:paraId="482C0A9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lastRenderedPageBreak/>
        <w:t>7.5 Na hipótese de o julgamento da prestação de informações apontar a necessidade de devolução de recursos, o agente cultural será notificado para que exerça a opção por:</w:t>
      </w:r>
    </w:p>
    <w:p w14:paraId="5C9E201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 </w:t>
      </w:r>
      <w:proofErr w:type="gramStart"/>
      <w:r>
        <w:rPr>
          <w:rFonts w:ascii="Helvetica Neue" w:eastAsia="Helvetica Neue" w:hAnsi="Helvetica Neue" w:cs="Helvetica Neue"/>
          <w:sz w:val="24"/>
          <w:szCs w:val="24"/>
        </w:rPr>
        <w:t>devolução</w:t>
      </w:r>
      <w:proofErr w:type="gramEnd"/>
      <w:r>
        <w:rPr>
          <w:rFonts w:ascii="Helvetica Neue" w:eastAsia="Helvetica Neue" w:hAnsi="Helvetica Neue" w:cs="Helvetica Neue"/>
          <w:sz w:val="24"/>
          <w:szCs w:val="24"/>
        </w:rPr>
        <w:t xml:space="preserve"> parcial ou integral dos recursos ao erário;</w:t>
      </w:r>
    </w:p>
    <w:p w14:paraId="3942BE4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apresentação</w:t>
      </w:r>
      <w:proofErr w:type="gramEnd"/>
      <w:r>
        <w:rPr>
          <w:rFonts w:ascii="Helvetica Neue" w:eastAsia="Helvetica Neue" w:hAnsi="Helvetica Neue" w:cs="Helvetica Neue"/>
          <w:sz w:val="24"/>
          <w:szCs w:val="24"/>
        </w:rPr>
        <w:t xml:space="preserve"> de plano de ações compensatórias; ou</w:t>
      </w:r>
    </w:p>
    <w:p w14:paraId="508B2135"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III - devolução parcial dos recursos ao erário juntamente com a apresentação de plano de ações compensatórias.</w:t>
      </w:r>
    </w:p>
    <w:p w14:paraId="0485BF8E"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7.5.1 A ocorrência de caso fortuito ou força maior impeditiva da execução do instrumento afasta a reprovação da prestação de informações, desde que comprovada.</w:t>
      </w:r>
    </w:p>
    <w:p w14:paraId="1A126123"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7.5.2 Nos casos em que estiver caracterizada má-fé do agente cultural, será imediatamente exigida a devolução de recursos ao erário, vedada a aceitação de plano de ações compensatórias.</w:t>
      </w:r>
    </w:p>
    <w:p w14:paraId="4E25382E"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7.5.3 Nos casos em que houver exigência de devolução de recursos ao erário, o agente cultural poderá solicitar o parcelamento do débito, na forma e nas condições previstas na legislação.</w:t>
      </w:r>
    </w:p>
    <w:p w14:paraId="04E92CF5"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8. ALTERAÇÃO DO TERMO DE EXECUÇÃO CULTURAL</w:t>
      </w:r>
    </w:p>
    <w:p w14:paraId="006E6A3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8.1 A alteração do termo de execução cultural será formalizada por meio de termo aditivo.</w:t>
      </w:r>
    </w:p>
    <w:p w14:paraId="26EE07E4"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8.2 A formalização de termo aditivo não será necessária nas seguintes hipóteses:</w:t>
      </w:r>
    </w:p>
    <w:p w14:paraId="14B180F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 </w:t>
      </w:r>
      <w:proofErr w:type="gramStart"/>
      <w:r>
        <w:rPr>
          <w:rFonts w:ascii="Helvetica Neue" w:eastAsia="Helvetica Neue" w:hAnsi="Helvetica Neue" w:cs="Helvetica Neue"/>
          <w:sz w:val="24"/>
          <w:szCs w:val="24"/>
        </w:rPr>
        <w:t>prorrogação</w:t>
      </w:r>
      <w:proofErr w:type="gramEnd"/>
      <w:r>
        <w:rPr>
          <w:rFonts w:ascii="Helvetica Neue" w:eastAsia="Helvetica Neue" w:hAnsi="Helvetica Neue" w:cs="Helvetica Neue"/>
          <w:sz w:val="24"/>
          <w:szCs w:val="24"/>
        </w:rPr>
        <w:t xml:space="preserve"> de vigência realizada de ofício pela administração pública quando der causa ao atraso na liberação de recursos; e</w:t>
      </w:r>
    </w:p>
    <w:p w14:paraId="78AE09A4"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alteração</w:t>
      </w:r>
      <w:proofErr w:type="gramEnd"/>
      <w:r>
        <w:rPr>
          <w:rFonts w:ascii="Helvetica Neue" w:eastAsia="Helvetica Neue" w:hAnsi="Helvetica Neue" w:cs="Helvetica Neue"/>
          <w:sz w:val="24"/>
          <w:szCs w:val="24"/>
        </w:rPr>
        <w:t xml:space="preserve"> do projeto sem modificação do valor global do instrumento e sem modificação substancial do objeto.</w:t>
      </w:r>
    </w:p>
    <w:p w14:paraId="47B4C2B7"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8.3 Na hipótese de prorrogação de vigência, o saldo de recursos será automaticamente mantido na conta a fim de viabilizar a continuidade da execução do objeto.</w:t>
      </w:r>
    </w:p>
    <w:p w14:paraId="7C9EB88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8.4 As alterações do projeto cujo escopo seja de, no máximo, 20% do valor total poderão ser realizadas pelo agente cultural e comunicadas à administração pública em seguida, sem a necessidade de autorização prévia.</w:t>
      </w:r>
    </w:p>
    <w:p w14:paraId="7019E8E8"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8.5 A aplicação de rendimentos de ativos financeiros em benefício do objeto do termo de execução cultural poderá ser realizada pelo agente cultural sem a necessidade de autorização prévia da administração pública.</w:t>
      </w:r>
    </w:p>
    <w:p w14:paraId="2D0912C7"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8.6 Nas hipóteses de alterações em que não seja necessário termo aditivo, poderá ser realizado </w:t>
      </w:r>
      <w:proofErr w:type="spellStart"/>
      <w:r>
        <w:rPr>
          <w:rFonts w:ascii="Helvetica Neue" w:eastAsia="Helvetica Neue" w:hAnsi="Helvetica Neue" w:cs="Helvetica Neue"/>
          <w:sz w:val="24"/>
          <w:szCs w:val="24"/>
        </w:rPr>
        <w:t>apostilamento</w:t>
      </w:r>
      <w:proofErr w:type="spellEnd"/>
      <w:r>
        <w:rPr>
          <w:rFonts w:ascii="Helvetica Neue" w:eastAsia="Helvetica Neue" w:hAnsi="Helvetica Neue" w:cs="Helvetica Neue"/>
          <w:sz w:val="24"/>
          <w:szCs w:val="24"/>
        </w:rPr>
        <w:t>.</w:t>
      </w:r>
    </w:p>
    <w:p w14:paraId="502237EE"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9. TITULARIDADE DE BENS</w:t>
      </w:r>
    </w:p>
    <w:p w14:paraId="4BC884E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lastRenderedPageBreak/>
        <w:t>9.1 Os bens permanentes adquiridos, produzidos ou transformados em decorrência da execução da ação cultural fomentada serão de titularidade do agente cultural desde a data da sua aquisição.</w:t>
      </w:r>
    </w:p>
    <w:p w14:paraId="66A014F1" w14:textId="77777777" w:rsidR="00E26424" w:rsidRDefault="00171235">
      <w:pPr>
        <w:spacing w:after="100" w:line="276" w:lineRule="auto"/>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  9.2 Os bens permanentes adquiridos, produzidos ou transformados em decorrência da   execução da ação cultural fomentada serão de titularidade da Secretaria de Desenvolvimento Econômico Cultura e Turismo.</w:t>
      </w:r>
    </w:p>
    <w:p w14:paraId="26505F22" w14:textId="77777777" w:rsidR="00E26424" w:rsidRDefault="00E26424">
      <w:pPr>
        <w:spacing w:after="100" w:line="276" w:lineRule="auto"/>
        <w:ind w:left="100"/>
        <w:jc w:val="both"/>
        <w:rPr>
          <w:rFonts w:ascii="Helvetica Neue" w:eastAsia="Helvetica Neue" w:hAnsi="Helvetica Neue" w:cs="Helvetica Neue"/>
          <w:color w:val="FF0000"/>
          <w:sz w:val="24"/>
          <w:szCs w:val="24"/>
        </w:rPr>
      </w:pPr>
    </w:p>
    <w:p w14:paraId="745E5F4F"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10. EXTINÇÃO DO TERMO DE EXECUÇÃO CULTURAL</w:t>
      </w:r>
    </w:p>
    <w:p w14:paraId="637B503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10.1 O presente Termo de Execução Cultural poderá ser:</w:t>
      </w:r>
    </w:p>
    <w:p w14:paraId="0CC1F56D"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 - </w:t>
      </w:r>
      <w:proofErr w:type="gramStart"/>
      <w:r>
        <w:rPr>
          <w:rFonts w:ascii="Helvetica Neue" w:eastAsia="Helvetica Neue" w:hAnsi="Helvetica Neue" w:cs="Helvetica Neue"/>
          <w:sz w:val="24"/>
          <w:szCs w:val="24"/>
        </w:rPr>
        <w:t>extinto</w:t>
      </w:r>
      <w:proofErr w:type="gramEnd"/>
      <w:r>
        <w:rPr>
          <w:rFonts w:ascii="Helvetica Neue" w:eastAsia="Helvetica Neue" w:hAnsi="Helvetica Neue" w:cs="Helvetica Neue"/>
          <w:sz w:val="24"/>
          <w:szCs w:val="24"/>
        </w:rPr>
        <w:t xml:space="preserve"> por decurso de prazo;</w:t>
      </w:r>
    </w:p>
    <w:p w14:paraId="07F11218"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II - </w:t>
      </w:r>
      <w:proofErr w:type="gramStart"/>
      <w:r>
        <w:rPr>
          <w:rFonts w:ascii="Helvetica Neue" w:eastAsia="Helvetica Neue" w:hAnsi="Helvetica Neue" w:cs="Helvetica Neue"/>
          <w:sz w:val="24"/>
          <w:szCs w:val="24"/>
        </w:rPr>
        <w:t>extinto</w:t>
      </w:r>
      <w:proofErr w:type="gramEnd"/>
      <w:r>
        <w:rPr>
          <w:rFonts w:ascii="Helvetica Neue" w:eastAsia="Helvetica Neue" w:hAnsi="Helvetica Neue" w:cs="Helvetica Neue"/>
          <w:sz w:val="24"/>
          <w:szCs w:val="24"/>
        </w:rPr>
        <w:t>, de comum acordo antes do prazo avençado, mediante Termo de Distrato;</w:t>
      </w:r>
    </w:p>
    <w:p w14:paraId="464FDEB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III - denunciado, por decisão unilateral de qualquer dos partícipes, independentemente de autorização judicial, mediante prévia notificação por escrito ao outro partícipe; ou</w:t>
      </w:r>
    </w:p>
    <w:p w14:paraId="0120BF19"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IV - </w:t>
      </w:r>
      <w:proofErr w:type="gramStart"/>
      <w:r>
        <w:rPr>
          <w:rFonts w:ascii="Helvetica Neue" w:eastAsia="Helvetica Neue" w:hAnsi="Helvetica Neue" w:cs="Helvetica Neue"/>
          <w:sz w:val="24"/>
          <w:szCs w:val="24"/>
        </w:rPr>
        <w:t>rescindido</w:t>
      </w:r>
      <w:proofErr w:type="gramEnd"/>
      <w:r>
        <w:rPr>
          <w:rFonts w:ascii="Helvetica Neue" w:eastAsia="Helvetica Neue" w:hAnsi="Helvetica Neue" w:cs="Helvetica Neue"/>
          <w:sz w:val="24"/>
          <w:szCs w:val="24"/>
        </w:rPr>
        <w:t>, por decisão unilateral de qualquer dos partícipes, independentemente de autorização judicial, mediante prévia notificação por escrito ao outro partícipe, nas seguintes hipóteses:</w:t>
      </w:r>
    </w:p>
    <w:p w14:paraId="604FCBAA"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a) descumprimento injustificado de cláusula deste instrumento;</w:t>
      </w:r>
    </w:p>
    <w:p w14:paraId="704531B1"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b) irregularidade ou inexecução injustificada, ainda que parcial, do objeto, resultados ou metas pactuadas;</w:t>
      </w:r>
    </w:p>
    <w:p w14:paraId="29903F0D"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c) violação da legislação aplicável;</w:t>
      </w:r>
    </w:p>
    <w:p w14:paraId="1DCF90FE"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d) cometimento de falhas reiteradas na execução;</w:t>
      </w:r>
    </w:p>
    <w:p w14:paraId="3EFA2DC0"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e) má administração de recursos públicos;</w:t>
      </w:r>
    </w:p>
    <w:p w14:paraId="1EB9F18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f) constatação de falsidade ou fraude nas informações ou documentos apresentados;</w:t>
      </w:r>
    </w:p>
    <w:p w14:paraId="5E7456AF"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g) não atendimento às recomendações ou determinações decorrentes da fiscalização;</w:t>
      </w:r>
    </w:p>
    <w:p w14:paraId="302E54B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h) outras hipóteses expressamente previstas na legislação aplicável.</w:t>
      </w:r>
    </w:p>
    <w:p w14:paraId="7C749B7C"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10.2 Os casos de rescisão unilateral serão formalmente motivados nos autos do processo administrativo, assegurado o contraditório e a ampla defesa. O prazo de defesa será de 10 (dez) dias da abertura de vista do processo. </w:t>
      </w:r>
    </w:p>
    <w:p w14:paraId="207DEE4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10.3 Na hipótese de irregularidade na execução do objeto que enseje dano ao erário, deverá ser instaurada Tomada de Contas Especial caso os valores relacionados à irregularidade não sejam devolvidos no prazo estabelecido pela Administração Pública.</w:t>
      </w:r>
    </w:p>
    <w:p w14:paraId="1A2B6BAB"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lastRenderedPageBreak/>
        <w:t xml:space="preserve">10.4 Outras situações relativas à extinção deste Termo não previstas na legislação aplicável ou neste instrumento poderão ser negociadas entre as partes ou, se for o caso, no Termo de Distrato.  </w:t>
      </w:r>
    </w:p>
    <w:p w14:paraId="0ECE5059"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 xml:space="preserve">11. MONITORAMENTO E CONTROLE DE RESULTADOS </w:t>
      </w:r>
    </w:p>
    <w:p w14:paraId="1BED15EA"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11.1 O monitoramento das atividades será realizado por envio de relatórios pelo agente cultural contemplado à Secretaria de Desenvolvimento Econômico Cultura e Turismo </w:t>
      </w:r>
    </w:p>
    <w:p w14:paraId="716E7298"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 xml:space="preserve">12. VIGÊNCIA </w:t>
      </w:r>
    </w:p>
    <w:p w14:paraId="352F2116"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12.1 A vigência deste instrumento terá início na data de assinatura das partes, com duração de 12 meses, podendo ser prorrogado por mais 03 meses.</w:t>
      </w:r>
    </w:p>
    <w:p w14:paraId="6C152A2C"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 xml:space="preserve">13. PUBLICAÇÃO </w:t>
      </w:r>
    </w:p>
    <w:p w14:paraId="02FFCA62" w14:textId="77777777" w:rsidR="00E26424" w:rsidRDefault="00171235">
      <w:pPr>
        <w:spacing w:after="100" w:line="276" w:lineRule="auto"/>
        <w:ind w:left="141"/>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13.1 O Extrato do Termo de Execução Cultural será publicado </w:t>
      </w:r>
      <w:proofErr w:type="gramStart"/>
      <w:r>
        <w:rPr>
          <w:rFonts w:ascii="Helvetica Neue" w:eastAsia="Helvetica Neue" w:hAnsi="Helvetica Neue" w:cs="Helvetica Neue"/>
          <w:sz w:val="24"/>
          <w:szCs w:val="24"/>
        </w:rPr>
        <w:t>no  Diário</w:t>
      </w:r>
      <w:proofErr w:type="gramEnd"/>
      <w:r>
        <w:rPr>
          <w:rFonts w:ascii="Helvetica Neue" w:eastAsia="Helvetica Neue" w:hAnsi="Helvetica Neue" w:cs="Helvetica Neue"/>
          <w:sz w:val="24"/>
          <w:szCs w:val="24"/>
        </w:rPr>
        <w:t xml:space="preserve"> Oficial de Belmonte</w:t>
      </w:r>
    </w:p>
    <w:p w14:paraId="2A03B066" w14:textId="77777777" w:rsidR="00E26424" w:rsidRDefault="00171235">
      <w:pPr>
        <w:spacing w:after="100" w:line="276" w:lineRule="auto"/>
        <w:ind w:left="100"/>
        <w:jc w:val="both"/>
        <w:rPr>
          <w:rFonts w:ascii="Helvetica Neue" w:eastAsia="Helvetica Neue" w:hAnsi="Helvetica Neue" w:cs="Helvetica Neue"/>
          <w:b/>
          <w:sz w:val="24"/>
          <w:szCs w:val="24"/>
        </w:rPr>
      </w:pPr>
      <w:r>
        <w:rPr>
          <w:rFonts w:ascii="Helvetica Neue" w:eastAsia="Helvetica Neue" w:hAnsi="Helvetica Neue" w:cs="Helvetica Neue"/>
          <w:b/>
          <w:sz w:val="24"/>
          <w:szCs w:val="24"/>
        </w:rPr>
        <w:t xml:space="preserve">14. FORO </w:t>
      </w:r>
    </w:p>
    <w:p w14:paraId="6A9305A2" w14:textId="77777777" w:rsidR="00E26424" w:rsidRDefault="00171235">
      <w:pPr>
        <w:spacing w:after="100" w:line="276" w:lineRule="auto"/>
        <w:ind w:left="100"/>
        <w:jc w:val="both"/>
        <w:rPr>
          <w:rFonts w:ascii="Helvetica Neue" w:eastAsia="Helvetica Neue" w:hAnsi="Helvetica Neue" w:cs="Helvetica Neue"/>
          <w:sz w:val="24"/>
          <w:szCs w:val="24"/>
        </w:rPr>
      </w:pPr>
      <w:r>
        <w:rPr>
          <w:rFonts w:ascii="Helvetica Neue" w:eastAsia="Helvetica Neue" w:hAnsi="Helvetica Neue" w:cs="Helvetica Neue"/>
          <w:sz w:val="24"/>
          <w:szCs w:val="24"/>
        </w:rPr>
        <w:t>14.1 Fica eleito o Foro de Belmonte-BA</w:t>
      </w:r>
      <w:r>
        <w:rPr>
          <w:rFonts w:ascii="Helvetica Neue" w:eastAsia="Helvetica Neue" w:hAnsi="Helvetica Neue" w:cs="Helvetica Neue"/>
          <w:color w:val="FF0000"/>
          <w:sz w:val="24"/>
          <w:szCs w:val="24"/>
        </w:rPr>
        <w:t xml:space="preserve"> </w:t>
      </w:r>
      <w:r>
        <w:rPr>
          <w:rFonts w:ascii="Helvetica Neue" w:eastAsia="Helvetica Neue" w:hAnsi="Helvetica Neue" w:cs="Helvetica Neue"/>
          <w:sz w:val="24"/>
          <w:szCs w:val="24"/>
        </w:rPr>
        <w:t>para dirimir quaisquer dúvidas relativas ao presente Termo de Execução Cultural.</w:t>
      </w:r>
    </w:p>
    <w:p w14:paraId="254BFAC2" w14:textId="77777777" w:rsidR="00E26424" w:rsidRDefault="00E26424">
      <w:pPr>
        <w:spacing w:after="100" w:line="276" w:lineRule="auto"/>
        <w:ind w:left="100"/>
        <w:jc w:val="both"/>
        <w:rPr>
          <w:rFonts w:ascii="Helvetica Neue" w:eastAsia="Helvetica Neue" w:hAnsi="Helvetica Neue" w:cs="Helvetica Neue"/>
          <w:sz w:val="24"/>
          <w:szCs w:val="24"/>
        </w:rPr>
      </w:pPr>
    </w:p>
    <w:p w14:paraId="6EDFB552" w14:textId="77777777" w:rsidR="00E26424" w:rsidRDefault="00171235">
      <w:pPr>
        <w:spacing w:after="100" w:line="276" w:lineRule="auto"/>
        <w:ind w:left="100"/>
        <w:jc w:val="center"/>
        <w:rPr>
          <w:rFonts w:ascii="Helvetica Neue" w:eastAsia="Helvetica Neue" w:hAnsi="Helvetica Neue" w:cs="Helvetica Neue"/>
          <w:sz w:val="24"/>
          <w:szCs w:val="24"/>
        </w:rPr>
      </w:pPr>
      <w:r>
        <w:rPr>
          <w:rFonts w:ascii="Helvetica Neue" w:eastAsia="Helvetica Neue" w:hAnsi="Helvetica Neue" w:cs="Helvetica Neue"/>
          <w:sz w:val="24"/>
          <w:szCs w:val="24"/>
        </w:rPr>
        <w:t>LOCAL, [INDICAR DIA, MÊS E ANO].</w:t>
      </w:r>
    </w:p>
    <w:p w14:paraId="173C0A9F" w14:textId="77777777" w:rsidR="00E26424" w:rsidRDefault="00171235">
      <w:pPr>
        <w:spacing w:after="100" w:line="276" w:lineRule="auto"/>
        <w:jc w:val="center"/>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 </w:t>
      </w:r>
    </w:p>
    <w:p w14:paraId="757024BD" w14:textId="77777777" w:rsidR="00E26424" w:rsidRDefault="00171235">
      <w:pPr>
        <w:spacing w:after="100" w:line="276" w:lineRule="auto"/>
        <w:jc w:val="center"/>
        <w:rPr>
          <w:rFonts w:ascii="Helvetica Neue" w:eastAsia="Helvetica Neue" w:hAnsi="Helvetica Neue" w:cs="Helvetica Neue"/>
          <w:sz w:val="24"/>
          <w:szCs w:val="24"/>
        </w:rPr>
      </w:pPr>
      <w:r>
        <w:rPr>
          <w:rFonts w:ascii="Helvetica Neue" w:eastAsia="Helvetica Neue" w:hAnsi="Helvetica Neue" w:cs="Helvetica Neue"/>
          <w:sz w:val="24"/>
          <w:szCs w:val="24"/>
        </w:rPr>
        <w:t>Pelo órgão:</w:t>
      </w:r>
    </w:p>
    <w:p w14:paraId="6A3E6297" w14:textId="77777777" w:rsidR="00E26424" w:rsidRDefault="00171235">
      <w:pPr>
        <w:spacing w:after="100" w:line="276" w:lineRule="auto"/>
        <w:jc w:val="center"/>
        <w:rPr>
          <w:rFonts w:ascii="Helvetica Neue" w:eastAsia="Helvetica Neue" w:hAnsi="Helvetica Neue" w:cs="Helvetica Neue"/>
          <w:sz w:val="24"/>
          <w:szCs w:val="24"/>
        </w:rPr>
      </w:pPr>
      <w:r>
        <w:rPr>
          <w:rFonts w:ascii="Helvetica Neue" w:eastAsia="Helvetica Neue" w:hAnsi="Helvetica Neue" w:cs="Helvetica Neue"/>
          <w:sz w:val="24"/>
          <w:szCs w:val="24"/>
        </w:rPr>
        <w:t>[NOME DO REPRESENTANTE]</w:t>
      </w:r>
    </w:p>
    <w:p w14:paraId="7659257A" w14:textId="77777777" w:rsidR="00E26424" w:rsidRDefault="00E26424">
      <w:pPr>
        <w:spacing w:after="0" w:line="276" w:lineRule="auto"/>
        <w:rPr>
          <w:rFonts w:ascii="Helvetica Neue" w:eastAsia="Helvetica Neue" w:hAnsi="Helvetica Neue" w:cs="Helvetica Neue"/>
          <w:sz w:val="24"/>
          <w:szCs w:val="24"/>
        </w:rPr>
      </w:pPr>
    </w:p>
    <w:p w14:paraId="54FFA55E" w14:textId="77777777" w:rsidR="00E26424" w:rsidRDefault="00171235">
      <w:pPr>
        <w:spacing w:after="100" w:line="276" w:lineRule="auto"/>
        <w:jc w:val="center"/>
        <w:rPr>
          <w:rFonts w:ascii="Helvetica Neue" w:eastAsia="Helvetica Neue" w:hAnsi="Helvetica Neue" w:cs="Helvetica Neue"/>
          <w:sz w:val="24"/>
          <w:szCs w:val="24"/>
        </w:rPr>
      </w:pPr>
      <w:r>
        <w:rPr>
          <w:rFonts w:ascii="Helvetica Neue" w:eastAsia="Helvetica Neue" w:hAnsi="Helvetica Neue" w:cs="Helvetica Neue"/>
          <w:sz w:val="24"/>
          <w:szCs w:val="24"/>
        </w:rPr>
        <w:t>Pelo Agente Cultural:</w:t>
      </w:r>
    </w:p>
    <w:p w14:paraId="6E77DE4A" w14:textId="77777777" w:rsidR="00E26424" w:rsidRDefault="00171235">
      <w:pPr>
        <w:spacing w:after="100" w:line="276" w:lineRule="auto"/>
        <w:jc w:val="center"/>
        <w:rPr>
          <w:rFonts w:ascii="Helvetica Neue" w:eastAsia="Helvetica Neue" w:hAnsi="Helvetica Neue" w:cs="Helvetica Neue"/>
          <w:sz w:val="24"/>
          <w:szCs w:val="24"/>
        </w:rPr>
      </w:pPr>
      <w:r>
        <w:rPr>
          <w:rFonts w:ascii="Helvetica Neue" w:eastAsia="Helvetica Neue" w:hAnsi="Helvetica Neue" w:cs="Helvetica Neue"/>
          <w:sz w:val="24"/>
          <w:szCs w:val="24"/>
        </w:rPr>
        <w:t>[NOME DO AGENTE CULTURAL]</w:t>
      </w:r>
    </w:p>
    <w:p w14:paraId="0797A03E" w14:textId="77777777" w:rsidR="00E26424" w:rsidRDefault="00E26424">
      <w:pPr>
        <w:pBdr>
          <w:top w:val="nil"/>
          <w:left w:val="nil"/>
          <w:bottom w:val="nil"/>
          <w:right w:val="nil"/>
          <w:between w:val="nil"/>
        </w:pBdr>
        <w:spacing w:before="120" w:after="120" w:line="240" w:lineRule="auto"/>
        <w:ind w:right="120"/>
        <w:jc w:val="both"/>
        <w:rPr>
          <w:rFonts w:ascii="Helvetica Neue" w:eastAsia="Helvetica Neue" w:hAnsi="Helvetica Neue" w:cs="Helvetica Neue"/>
          <w:sz w:val="24"/>
          <w:szCs w:val="24"/>
        </w:rPr>
      </w:pPr>
    </w:p>
    <w:sectPr w:rsidR="00E26424">
      <w:headerReference w:type="even" r:id="rId8"/>
      <w:headerReference w:type="default" r:id="rId9"/>
      <w:footerReference w:type="even" r:id="rId10"/>
      <w:footerReference w:type="default" r:id="rId11"/>
      <w:headerReference w:type="first" r:id="rId12"/>
      <w:footerReference w:type="first" r:id="rId13"/>
      <w:pgSz w:w="11906" w:h="16838"/>
      <w:pgMar w:top="1417" w:right="1701" w:bottom="1417" w:left="1701" w:header="624"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E3357E" w14:textId="77777777" w:rsidR="00FF2D63" w:rsidRDefault="00FF2D63">
      <w:pPr>
        <w:spacing w:after="0" w:line="240" w:lineRule="auto"/>
      </w:pPr>
      <w:r>
        <w:separator/>
      </w:r>
    </w:p>
  </w:endnote>
  <w:endnote w:type="continuationSeparator" w:id="0">
    <w:p w14:paraId="1DE0CBEF" w14:textId="77777777" w:rsidR="00FF2D63" w:rsidRDefault="00FF2D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200247B" w:usb2="00000009" w:usb3="00000000" w:csb0="000001FF" w:csb1="00000000"/>
    <w:embedRegular r:id="rId1" w:fontKey="{D8A30BA6-AA71-DB4F-9393-9B719AC2A8E3}"/>
    <w:embedBold r:id="rId2" w:fontKey="{F5AB1355-5E19-B249-A250-82081E416D87}"/>
  </w:font>
  <w:font w:name="Symbol">
    <w:panose1 w:val="05050102010706020507"/>
    <w:charset w:val="02"/>
    <w:family w:val="decorative"/>
    <w:pitch w:val="variable"/>
    <w:sig w:usb0="00000000" w:usb1="10000000" w:usb2="00000000" w:usb3="00000000" w:csb0="80000000" w:csb1="00000000"/>
    <w:embedRegular r:id="rId3" w:fontKey="{4B4AA2C2-B5AB-D743-922A-8528A06F1ACA}"/>
  </w:font>
  <w:font w:name="Helvetica Neue">
    <w:altName w:val="Helvetica Neue"/>
    <w:panose1 w:val="02000503000000020004"/>
    <w:charset w:val="00"/>
    <w:family w:val="auto"/>
    <w:pitch w:val="variable"/>
    <w:sig w:usb0="E50002FF" w:usb1="500079DB" w:usb2="00000010" w:usb3="00000000" w:csb0="00000001" w:csb1="00000000"/>
  </w:font>
  <w:font w:name="Courier New">
    <w:panose1 w:val="02070309020205020404"/>
    <w:charset w:val="00"/>
    <w:family w:val="modern"/>
    <w:pitch w:val="fixed"/>
    <w:sig w:usb0="E0002EFF" w:usb1="C0007843" w:usb2="00000009" w:usb3="00000000" w:csb0="000001FF" w:csb1="00000000"/>
    <w:embedRegular r:id="rId7" w:fontKey="{A97BE9A9-D98D-4E47-A376-6BB75E86608D}"/>
  </w:font>
  <w:font w:name="Times New Roman">
    <w:panose1 w:val="02020603050405020304"/>
    <w:charset w:val="00"/>
    <w:family w:val="roman"/>
    <w:pitch w:val="variable"/>
    <w:sig w:usb0="E0002EFF" w:usb1="C000785B" w:usb2="00000009" w:usb3="00000000" w:csb0="000001FF" w:csb1="00000000"/>
    <w:embedRegular r:id="rId8" w:fontKey="{B5EBC5D0-E046-4248-ACD1-C1785AAF48B4}"/>
    <w:embedBold r:id="rId9" w:fontKey="{6919265F-8944-6C44-9F4B-9EFDA323F567}"/>
  </w:font>
  <w:font w:name="Wingdings">
    <w:panose1 w:val="05000000000000000000"/>
    <w:charset w:val="4D"/>
    <w:family w:val="decorative"/>
    <w:pitch w:val="variable"/>
    <w:sig w:usb0="00000003" w:usb1="00000000" w:usb2="00000000" w:usb3="00000000" w:csb0="80000001" w:csb1="00000000"/>
    <w:embedRegular r:id="rId10" w:fontKey="{A5D64DA0-3D1C-3C42-A65F-C2B7C2EFA85C}"/>
  </w:font>
  <w:font w:name="Noto Sans Symbols">
    <w:altName w:val="Calibri"/>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embedRegular r:id="rId12" w:fontKey="{38581D8B-E1E3-F84E-BC0F-43BD005C9991}"/>
  </w:font>
  <w:font w:name="Georgia">
    <w:altName w:val="Georgia"/>
    <w:panose1 w:val="02040502050405020303"/>
    <w:charset w:val="00"/>
    <w:family w:val="roman"/>
    <w:pitch w:val="variable"/>
    <w:sig w:usb0="00000287" w:usb1="00000000" w:usb2="00000000" w:usb3="00000000" w:csb0="0000009F" w:csb1="00000000"/>
    <w:embedRegular r:id="rId13" w:fontKey="{7EF8AC47-726F-1340-A59A-6B676B9422C0}"/>
    <w:embedItalic r:id="rId14" w:fontKey="{C6CEFD02-C5B9-9A4A-B9B7-78BB59F54553}"/>
  </w:font>
  <w:font w:name="Arial">
    <w:panose1 w:val="020B0604020202020204"/>
    <w:charset w:val="00"/>
    <w:family w:val="swiss"/>
    <w:pitch w:val="variable"/>
    <w:sig w:usb0="E0002AFF" w:usb1="C0007843" w:usb2="00000009" w:usb3="00000000" w:csb0="000001FF" w:csb1="00000000"/>
    <w:embedRegular r:id="rId15" w:fontKey="{5B317C34-91BD-FD4D-940D-536293206F7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05177F" w14:textId="77777777" w:rsidR="00522742" w:rsidRDefault="00522742">
    <w:pPr>
      <w:pBdr>
        <w:top w:val="nil"/>
        <w:left w:val="nil"/>
        <w:bottom w:val="nil"/>
        <w:right w:val="nil"/>
        <w:between w:val="nil"/>
      </w:pBd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4070DF" w14:textId="77777777" w:rsidR="00522742" w:rsidRDefault="00522742">
    <w:pPr>
      <w:pBdr>
        <w:top w:val="nil"/>
        <w:left w:val="nil"/>
        <w:bottom w:val="nil"/>
        <w:right w:val="nil"/>
        <w:between w:val="nil"/>
      </w:pBdr>
      <w:tabs>
        <w:tab w:val="center" w:pos="4252"/>
        <w:tab w:val="right" w:pos="8504"/>
      </w:tabs>
      <w:spacing w:after="0" w:line="240" w:lineRule="auto"/>
      <w:jc w:val="right"/>
      <w:rPr>
        <w:color w:val="000000"/>
      </w:rPr>
    </w:pPr>
  </w:p>
  <w:p w14:paraId="253708DC" w14:textId="77777777" w:rsidR="00522742" w:rsidRDefault="00522742">
    <w:pPr>
      <w:pBdr>
        <w:top w:val="nil"/>
        <w:left w:val="nil"/>
        <w:bottom w:val="nil"/>
        <w:right w:val="nil"/>
        <w:between w:val="nil"/>
      </w:pBdr>
      <w:tabs>
        <w:tab w:val="center" w:pos="4252"/>
        <w:tab w:val="right" w:pos="8504"/>
      </w:tabs>
      <w:spacing w:after="0" w:line="240" w:lineRule="auto"/>
      <w:rPr>
        <w:color w:val="FF0000"/>
      </w:rPr>
    </w:pPr>
    <w:r>
      <w:rPr>
        <w:noProof/>
      </w:rPr>
      <w:drawing>
        <wp:anchor distT="0" distB="0" distL="114300" distR="114300" simplePos="0" relativeHeight="251659264" behindDoc="0" locked="0" layoutInCell="1" hidden="0" allowOverlap="1" wp14:anchorId="714B3FED" wp14:editId="6EE063B3">
          <wp:simplePos x="0" y="0"/>
          <wp:positionH relativeFrom="column">
            <wp:posOffset>2523490</wp:posOffset>
          </wp:positionH>
          <wp:positionV relativeFrom="paragraph">
            <wp:posOffset>67054</wp:posOffset>
          </wp:positionV>
          <wp:extent cx="1143800" cy="495635"/>
          <wp:effectExtent l="0" t="0" r="0" b="0"/>
          <wp:wrapNone/>
          <wp:docPr id="150038609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143800" cy="495635"/>
                  </a:xfrm>
                  <a:prstGeom prst="rect">
                    <a:avLst/>
                  </a:prstGeom>
                  <a:ln/>
                </pic:spPr>
              </pic:pic>
            </a:graphicData>
          </a:graphic>
        </wp:anchor>
      </w:drawing>
    </w:r>
  </w:p>
  <w:p w14:paraId="4B5B9E56" w14:textId="77777777" w:rsidR="00522742" w:rsidRDefault="00522742">
    <w:pPr>
      <w:pBdr>
        <w:top w:val="nil"/>
        <w:left w:val="nil"/>
        <w:bottom w:val="nil"/>
        <w:right w:val="nil"/>
        <w:between w:val="nil"/>
      </w:pBdr>
      <w:tabs>
        <w:tab w:val="center" w:pos="4252"/>
        <w:tab w:val="right" w:pos="8504"/>
      </w:tabs>
      <w:spacing w:after="0" w:line="240" w:lineRule="auto"/>
      <w:rPr>
        <w:color w:val="FF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E082FE" w14:textId="77777777" w:rsidR="00522742" w:rsidRDefault="00522742">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213109" w14:textId="77777777" w:rsidR="00FF2D63" w:rsidRDefault="00FF2D63">
      <w:pPr>
        <w:spacing w:after="0" w:line="240" w:lineRule="auto"/>
      </w:pPr>
      <w:r>
        <w:separator/>
      </w:r>
    </w:p>
  </w:footnote>
  <w:footnote w:type="continuationSeparator" w:id="0">
    <w:p w14:paraId="7215B528" w14:textId="77777777" w:rsidR="00FF2D63" w:rsidRDefault="00FF2D6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F60EAE" w14:textId="77777777" w:rsidR="00522742" w:rsidRDefault="00522742">
    <w:pPr>
      <w:pBdr>
        <w:top w:val="nil"/>
        <w:left w:val="nil"/>
        <w:bottom w:val="nil"/>
        <w:right w:val="nil"/>
        <w:between w:val="nil"/>
      </w:pBd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F0D206" w14:textId="77777777" w:rsidR="00522742" w:rsidRDefault="00522742">
    <w:pPr>
      <w:pBdr>
        <w:top w:val="nil"/>
        <w:left w:val="nil"/>
        <w:bottom w:val="nil"/>
        <w:right w:val="nil"/>
        <w:between w:val="nil"/>
      </w:pBdr>
      <w:tabs>
        <w:tab w:val="center" w:pos="4252"/>
        <w:tab w:val="right" w:pos="8504"/>
      </w:tabs>
      <w:spacing w:after="0" w:line="240" w:lineRule="auto"/>
      <w:rPr>
        <w:color w:val="000000"/>
      </w:rPr>
    </w:pPr>
    <w:r>
      <w:rPr>
        <w:noProof/>
      </w:rPr>
      <w:drawing>
        <wp:anchor distT="0" distB="0" distL="0" distR="0" simplePos="0" relativeHeight="251658240" behindDoc="1" locked="0" layoutInCell="1" hidden="0" allowOverlap="1" wp14:anchorId="2B33AA09" wp14:editId="780EF7F4">
          <wp:simplePos x="0" y="0"/>
          <wp:positionH relativeFrom="column">
            <wp:posOffset>-1064231</wp:posOffset>
          </wp:positionH>
          <wp:positionV relativeFrom="paragraph">
            <wp:posOffset>-404191</wp:posOffset>
          </wp:positionV>
          <wp:extent cx="7584440" cy="10724707"/>
          <wp:effectExtent l="0" t="0" r="0" b="0"/>
          <wp:wrapNone/>
          <wp:docPr id="1500386091" name="image2.png" descr="Fundo preto com letras brancas"/>
          <wp:cNvGraphicFramePr/>
          <a:graphic xmlns:a="http://schemas.openxmlformats.org/drawingml/2006/main">
            <a:graphicData uri="http://schemas.openxmlformats.org/drawingml/2006/picture">
              <pic:pic xmlns:pic="http://schemas.openxmlformats.org/drawingml/2006/picture">
                <pic:nvPicPr>
                  <pic:cNvPr id="0" name="image2.png" descr="Fundo preto com letras brancas"/>
                  <pic:cNvPicPr preferRelativeResize="0"/>
                </pic:nvPicPr>
                <pic:blipFill>
                  <a:blip r:embed="rId1"/>
                  <a:srcRect/>
                  <a:stretch>
                    <a:fillRect/>
                  </a:stretch>
                </pic:blipFill>
                <pic:spPr>
                  <a:xfrm>
                    <a:off x="0" y="0"/>
                    <a:ext cx="7584440" cy="10724707"/>
                  </a:xfrm>
                  <a:prstGeom prst="rect">
                    <a:avLst/>
                  </a:prstGeom>
                  <a:ln/>
                </pic:spPr>
              </pic:pic>
            </a:graphicData>
          </a:graphic>
        </wp:anchor>
      </w:drawing>
    </w:r>
  </w:p>
  <w:p w14:paraId="33B6284A" w14:textId="77777777" w:rsidR="00522742" w:rsidRDefault="00522742">
    <w:pPr>
      <w:pBdr>
        <w:top w:val="nil"/>
        <w:left w:val="nil"/>
        <w:bottom w:val="nil"/>
        <w:right w:val="nil"/>
        <w:between w:val="nil"/>
      </w:pBdr>
      <w:tabs>
        <w:tab w:val="center" w:pos="4252"/>
        <w:tab w:val="right" w:pos="8504"/>
      </w:tabs>
      <w:spacing w:after="0" w:line="240" w:lineRule="auto"/>
      <w:rPr>
        <w:color w:val="FF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CFF9FE" w14:textId="77777777" w:rsidR="00522742" w:rsidRDefault="00522742">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D20636"/>
    <w:multiLevelType w:val="multilevel"/>
    <w:tmpl w:val="C9821D6A"/>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1" w15:restartNumberingAfterBreak="0">
    <w:nsid w:val="18FE0212"/>
    <w:multiLevelType w:val="hybridMultilevel"/>
    <w:tmpl w:val="18A86532"/>
    <w:lvl w:ilvl="0" w:tplc="8FE48AE8">
      <w:start w:val="20"/>
      <w:numFmt w:val="bullet"/>
      <w:lvlText w:val=""/>
      <w:lvlJc w:val="left"/>
      <w:pPr>
        <w:ind w:left="1080" w:hanging="360"/>
      </w:pPr>
      <w:rPr>
        <w:rFonts w:ascii="Symbol" w:eastAsia="Helvetica Neue" w:hAnsi="Symbol" w:cs="Helvetica Neue"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EF261F6"/>
    <w:multiLevelType w:val="multilevel"/>
    <w:tmpl w:val="D4AC63D6"/>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25B156D"/>
    <w:multiLevelType w:val="multilevel"/>
    <w:tmpl w:val="44EEE7C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3FC54DD"/>
    <w:multiLevelType w:val="multilevel"/>
    <w:tmpl w:val="EA042736"/>
    <w:lvl w:ilvl="0">
      <w:start w:val="1"/>
      <w:numFmt w:val="decimal"/>
      <w:lvlText w:val="%1."/>
      <w:lvlJc w:val="left"/>
      <w:pPr>
        <w:ind w:left="720" w:hanging="360"/>
      </w:pPr>
      <w:rPr>
        <w:b/>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5" w15:restartNumberingAfterBreak="0">
    <w:nsid w:val="4BEC5E4D"/>
    <w:multiLevelType w:val="hybridMultilevel"/>
    <w:tmpl w:val="8466A862"/>
    <w:lvl w:ilvl="0" w:tplc="8FE48AE8">
      <w:start w:val="20"/>
      <w:numFmt w:val="bullet"/>
      <w:lvlText w:val=""/>
      <w:lvlJc w:val="left"/>
      <w:pPr>
        <w:ind w:left="720" w:hanging="360"/>
      </w:pPr>
      <w:rPr>
        <w:rFonts w:ascii="Symbol" w:eastAsia="Helvetica Neue" w:hAnsi="Symbol" w:cs="Helvetica Neue"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C5D6246"/>
    <w:multiLevelType w:val="multilevel"/>
    <w:tmpl w:val="E834D25C"/>
    <w:lvl w:ilvl="0">
      <w:start w:val="1"/>
      <w:numFmt w:val="decimal"/>
      <w:lvlText w:val="%1."/>
      <w:lvlJc w:val="left"/>
      <w:pPr>
        <w:ind w:left="480" w:hanging="360"/>
      </w:pPr>
      <w:rPr>
        <w:u w:val="none"/>
      </w:rPr>
    </w:lvl>
    <w:lvl w:ilvl="1">
      <w:start w:val="1"/>
      <w:numFmt w:val="lowerLetter"/>
      <w:lvlText w:val="%2."/>
      <w:lvlJc w:val="left"/>
      <w:pPr>
        <w:ind w:left="1200" w:hanging="360"/>
      </w:pPr>
      <w:rPr>
        <w:u w:val="none"/>
      </w:rPr>
    </w:lvl>
    <w:lvl w:ilvl="2">
      <w:start w:val="1"/>
      <w:numFmt w:val="lowerRoman"/>
      <w:lvlText w:val="%3."/>
      <w:lvlJc w:val="right"/>
      <w:pPr>
        <w:ind w:left="1920" w:hanging="180"/>
      </w:pPr>
      <w:rPr>
        <w:u w:val="none"/>
      </w:rPr>
    </w:lvl>
    <w:lvl w:ilvl="3">
      <w:start w:val="1"/>
      <w:numFmt w:val="decimal"/>
      <w:lvlText w:val="%4."/>
      <w:lvlJc w:val="left"/>
      <w:pPr>
        <w:ind w:left="2640" w:hanging="360"/>
      </w:pPr>
      <w:rPr>
        <w:u w:val="none"/>
      </w:rPr>
    </w:lvl>
    <w:lvl w:ilvl="4">
      <w:start w:val="1"/>
      <w:numFmt w:val="lowerLetter"/>
      <w:lvlText w:val="%5."/>
      <w:lvlJc w:val="left"/>
      <w:pPr>
        <w:ind w:left="3360" w:hanging="360"/>
      </w:pPr>
      <w:rPr>
        <w:u w:val="none"/>
      </w:rPr>
    </w:lvl>
    <w:lvl w:ilvl="5">
      <w:start w:val="1"/>
      <w:numFmt w:val="lowerRoman"/>
      <w:lvlText w:val="%6."/>
      <w:lvlJc w:val="right"/>
      <w:pPr>
        <w:ind w:left="4080" w:hanging="180"/>
      </w:pPr>
      <w:rPr>
        <w:u w:val="none"/>
      </w:rPr>
    </w:lvl>
    <w:lvl w:ilvl="6">
      <w:start w:val="1"/>
      <w:numFmt w:val="decimal"/>
      <w:lvlText w:val="%7."/>
      <w:lvlJc w:val="left"/>
      <w:pPr>
        <w:ind w:left="4800" w:hanging="360"/>
      </w:pPr>
      <w:rPr>
        <w:u w:val="none"/>
      </w:rPr>
    </w:lvl>
    <w:lvl w:ilvl="7">
      <w:start w:val="1"/>
      <w:numFmt w:val="lowerLetter"/>
      <w:lvlText w:val="%8."/>
      <w:lvlJc w:val="left"/>
      <w:pPr>
        <w:ind w:left="5520" w:hanging="360"/>
      </w:pPr>
      <w:rPr>
        <w:u w:val="none"/>
      </w:rPr>
    </w:lvl>
    <w:lvl w:ilvl="8">
      <w:start w:val="1"/>
      <w:numFmt w:val="lowerRoman"/>
      <w:lvlText w:val="%9."/>
      <w:lvlJc w:val="right"/>
      <w:pPr>
        <w:ind w:left="6240" w:hanging="180"/>
      </w:pPr>
      <w:rPr>
        <w:u w:val="none"/>
      </w:rPr>
    </w:lvl>
  </w:abstractNum>
  <w:abstractNum w:abstractNumId="7" w15:restartNumberingAfterBreak="0">
    <w:nsid w:val="5581780D"/>
    <w:multiLevelType w:val="multilevel"/>
    <w:tmpl w:val="A47CBE46"/>
    <w:lvl w:ilvl="0">
      <w:start w:val="1"/>
      <w:numFmt w:val="bullet"/>
      <w:lvlText w:val="●"/>
      <w:lvlJc w:val="left"/>
      <w:pPr>
        <w:ind w:left="2486"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6"/>
  </w:num>
  <w:num w:numId="2">
    <w:abstractNumId w:val="4"/>
  </w:num>
  <w:num w:numId="3">
    <w:abstractNumId w:val="0"/>
  </w:num>
  <w:num w:numId="4">
    <w:abstractNumId w:val="2"/>
  </w:num>
  <w:num w:numId="5">
    <w:abstractNumId w:val="7"/>
  </w:num>
  <w:num w:numId="6">
    <w:abstractNumId w:val="3"/>
  </w:num>
  <w:num w:numId="7">
    <w:abstractNumId w:val="5"/>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424"/>
    <w:rsid w:val="000134B1"/>
    <w:rsid w:val="00090A63"/>
    <w:rsid w:val="000D316A"/>
    <w:rsid w:val="00171235"/>
    <w:rsid w:val="00260869"/>
    <w:rsid w:val="002C1752"/>
    <w:rsid w:val="003077D9"/>
    <w:rsid w:val="003152D5"/>
    <w:rsid w:val="00396B68"/>
    <w:rsid w:val="003D509E"/>
    <w:rsid w:val="0045248E"/>
    <w:rsid w:val="00522742"/>
    <w:rsid w:val="005613AE"/>
    <w:rsid w:val="00636221"/>
    <w:rsid w:val="007D6F88"/>
    <w:rsid w:val="007F5231"/>
    <w:rsid w:val="00B965E4"/>
    <w:rsid w:val="00DC7F2E"/>
    <w:rsid w:val="00E26424"/>
    <w:rsid w:val="00E75240"/>
    <w:rsid w:val="00FF2D6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8B8686"/>
  <w15:docId w15:val="{CE79EA35-3754-45D1-923C-70B432140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NormalTable0">
    <w:name w:val="Normal Table0"/>
    <w:tblPr>
      <w:tblCellMar>
        <w:top w:w="0" w:type="dxa"/>
        <w:left w:w="0" w:type="dxa"/>
        <w:bottom w:w="0" w:type="dxa"/>
        <w:right w:w="0" w:type="dxa"/>
      </w:tblCellMar>
    </w:tbl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6B5A24"/>
    <w:pPr>
      <w:ind w:left="720"/>
      <w:contextualSpacing/>
    </w:pPr>
  </w:style>
  <w:style w:type="character" w:styleId="UnresolvedMention">
    <w:name w:val="Unresolved Mention"/>
    <w:basedOn w:val="DefaultParagraphFont"/>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674563"/>
    <w:rPr>
      <w:sz w:val="16"/>
      <w:szCs w:val="16"/>
    </w:rPr>
  </w:style>
  <w:style w:type="paragraph" w:styleId="CommentText">
    <w:name w:val="annotation text"/>
    <w:basedOn w:val="Normal"/>
    <w:link w:val="CommentTextChar"/>
    <w:uiPriority w:val="99"/>
    <w:unhideWhenUsed/>
    <w:rsid w:val="00674563"/>
    <w:pPr>
      <w:spacing w:line="240" w:lineRule="auto"/>
    </w:pPr>
    <w:rPr>
      <w:sz w:val="20"/>
      <w:szCs w:val="20"/>
    </w:rPr>
  </w:style>
  <w:style w:type="character" w:customStyle="1" w:styleId="CommentTextChar">
    <w:name w:val="Comment Text Char"/>
    <w:basedOn w:val="DefaultParagraphFont"/>
    <w:link w:val="CommentText"/>
    <w:uiPriority w:val="99"/>
    <w:rsid w:val="00674563"/>
    <w:rPr>
      <w:sz w:val="20"/>
      <w:szCs w:val="20"/>
    </w:rPr>
  </w:style>
  <w:style w:type="paragraph" w:styleId="CommentSubject">
    <w:name w:val="annotation subject"/>
    <w:basedOn w:val="CommentText"/>
    <w:next w:val="CommentText"/>
    <w:link w:val="CommentSubjectChar"/>
    <w:uiPriority w:val="99"/>
    <w:semiHidden/>
    <w:unhideWhenUsed/>
    <w:rsid w:val="00674563"/>
    <w:rPr>
      <w:b/>
      <w:bCs/>
    </w:rPr>
  </w:style>
  <w:style w:type="character" w:customStyle="1" w:styleId="CommentSubjectChar">
    <w:name w:val="Comment Subject Char"/>
    <w:basedOn w:val="CommentTextChar"/>
    <w:link w:val="CommentSubject"/>
    <w:uiPriority w:val="99"/>
    <w:semiHidden/>
    <w:rsid w:val="00674563"/>
    <w:rPr>
      <w:b/>
      <w:bCs/>
      <w:sz w:val="20"/>
      <w:szCs w:val="20"/>
    </w:rPr>
  </w:style>
  <w:style w:type="character" w:styleId="Mention">
    <w:name w:val="Mention"/>
    <w:basedOn w:val="DefaultParagraphFont"/>
    <w:uiPriority w:val="99"/>
    <w:unhideWhenUsed/>
    <w:rPr>
      <w:color w:val="2B579A"/>
      <w:shd w:val="clear" w:color="auto" w:fill="E6E6E6"/>
    </w:rPr>
  </w:style>
  <w:style w:type="character" w:customStyle="1" w:styleId="Heading1Char">
    <w:name w:val="Heading 1 Char"/>
    <w:basedOn w:val="DefaultParagraphFont"/>
    <w:link w:val="Heading1"/>
    <w:uiPriority w:val="9"/>
    <w:rsid w:val="00A5147C"/>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5147C"/>
    <w:pPr>
      <w:outlineLvl w:val="9"/>
    </w:pPr>
  </w:style>
  <w:style w:type="paragraph" w:styleId="Revision">
    <w:name w:val="Revision"/>
    <w:hidden/>
    <w:uiPriority w:val="99"/>
    <w:semiHidden/>
    <w:rsid w:val="003C78FA"/>
    <w:pPr>
      <w:spacing w:after="0" w:line="240" w:lineRule="auto"/>
    </w:pPr>
  </w:style>
  <w:style w:type="paragraph" w:styleId="BodyText">
    <w:name w:val="Body Text"/>
    <w:basedOn w:val="Normal"/>
    <w:link w:val="BodyText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FE1D03"/>
  </w:style>
  <w:style w:type="character" w:customStyle="1" w:styleId="eop">
    <w:name w:val="eop"/>
    <w:basedOn w:val="DefaultParagraphFont"/>
    <w:rsid w:val="00FE1D03"/>
  </w:style>
  <w:style w:type="table" w:styleId="TableGrid">
    <w:name w:val="Table Grid"/>
    <w:basedOn w:val="Table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8B02BF"/>
    <w:pPr>
      <w:tabs>
        <w:tab w:val="center" w:pos="4252"/>
        <w:tab w:val="right" w:pos="8504"/>
      </w:tabs>
      <w:spacing w:after="0" w:line="240" w:lineRule="auto"/>
    </w:pPr>
  </w:style>
  <w:style w:type="character" w:customStyle="1" w:styleId="HeaderChar">
    <w:name w:val="Header Char"/>
    <w:basedOn w:val="DefaultParagraphFont"/>
    <w:link w:val="Header"/>
    <w:uiPriority w:val="99"/>
    <w:rsid w:val="008B02BF"/>
  </w:style>
  <w:style w:type="paragraph" w:styleId="Footer">
    <w:name w:val="footer"/>
    <w:basedOn w:val="Normal"/>
    <w:link w:val="FooterChar"/>
    <w:uiPriority w:val="99"/>
    <w:unhideWhenUsed/>
    <w:rsid w:val="008B02BF"/>
    <w:pPr>
      <w:tabs>
        <w:tab w:val="center" w:pos="4252"/>
        <w:tab w:val="right" w:pos="8504"/>
      </w:tabs>
      <w:spacing w:after="0" w:line="240" w:lineRule="auto"/>
    </w:pPr>
  </w:style>
  <w:style w:type="character" w:customStyle="1" w:styleId="FooterChar">
    <w:name w:val="Footer Char"/>
    <w:basedOn w:val="DefaultParagraphFont"/>
    <w:link w:val="Footer"/>
    <w:uiPriority w:val="99"/>
    <w:rsid w:val="008B02BF"/>
  </w:style>
  <w:style w:type="paragraph" w:styleId="TOC1">
    <w:name w:val="toc 1"/>
    <w:basedOn w:val="Normal"/>
    <w:next w:val="Normal"/>
    <w:autoRedefine/>
    <w:uiPriority w:val="39"/>
    <w:unhideWhenUsed/>
    <w:rsid w:val="00EC20EE"/>
    <w:pPr>
      <w:spacing w:after="100"/>
    </w:pPr>
  </w:style>
  <w:style w:type="table" w:customStyle="1" w:styleId="ae">
    <w:basedOn w:val="TableNormal1"/>
    <w:tblPr>
      <w:tblStyleRowBandSize w:val="1"/>
      <w:tblStyleColBandSize w:val="1"/>
      <w:tblCellMar>
        <w:left w:w="115" w:type="dxa"/>
        <w:right w:w="115" w:type="dxa"/>
      </w:tblCellMar>
    </w:tblPr>
  </w:style>
  <w:style w:type="table" w:customStyle="1" w:styleId="af">
    <w:basedOn w:val="TableNormal1"/>
    <w:tblPr>
      <w:tblStyleRowBandSize w:val="1"/>
      <w:tblStyleColBandSize w:val="1"/>
      <w:tblCellMar>
        <w:top w:w="15" w:type="dxa"/>
        <w:left w:w="15" w:type="dxa"/>
        <w:bottom w:w="15" w:type="dxa"/>
        <w:right w:w="15" w:type="dxa"/>
      </w:tblCellMar>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CellMar>
        <w:top w:w="15" w:type="dxa"/>
        <w:left w:w="15" w:type="dxa"/>
        <w:bottom w:w="15" w:type="dxa"/>
        <w:right w:w="15" w:type="dxa"/>
      </w:tblCellMar>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CellMar>
        <w:top w:w="15" w:type="dxa"/>
        <w:left w:w="15" w:type="dxa"/>
        <w:bottom w:w="15" w:type="dxa"/>
        <w:right w:w="15" w:type="dxa"/>
      </w:tblCellMar>
    </w:tblPr>
  </w:style>
  <w:style w:type="table" w:customStyle="1" w:styleId="af5">
    <w:basedOn w:val="TableNormal1"/>
    <w:tblPr>
      <w:tblStyleRowBandSize w:val="1"/>
      <w:tblStyleColBandSize w:val="1"/>
      <w:tblCellMar>
        <w:top w:w="100" w:type="dxa"/>
        <w:left w:w="100" w:type="dxa"/>
        <w:bottom w:w="100" w:type="dxa"/>
        <w:right w:w="100" w:type="dxa"/>
      </w:tblCellMar>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paragraph" w:styleId="BalloonText">
    <w:name w:val="Balloon Text"/>
    <w:basedOn w:val="Normal"/>
    <w:link w:val="BalloonTextChar"/>
    <w:uiPriority w:val="99"/>
    <w:semiHidden/>
    <w:unhideWhenUsed/>
    <w:rsid w:val="00DC7F2E"/>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C7F2E"/>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jON4p8Vdw2M6TEhvLBAEpGxnYQ==">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1931</Words>
  <Characters>11010</Characters>
  <Application>Microsoft Office Word</Application>
  <DocSecurity>0</DocSecurity>
  <Lines>91</Lines>
  <Paragraphs>25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12916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Microsoft Office User</cp:lastModifiedBy>
  <cp:revision>2</cp:revision>
  <dcterms:created xsi:type="dcterms:W3CDTF">2024-11-07T14:25:00Z</dcterms:created>
  <dcterms:modified xsi:type="dcterms:W3CDTF">2024-11-07T14:25:00Z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MediaServiceImageTags</vt:lpwstr>
  </property>
  <property fmtid="{D5CDD505-2E9C-101B-9397-08002B2CF9AE}" pid="4" name="xd_ProgID">
    <vt:lpwstr>xd_ProgID</vt:lpwstr>
  </property>
  <property fmtid="{D5CDD505-2E9C-101B-9397-08002B2CF9AE}" pid="5" name="ComplianceAssetId">
    <vt:lpwstr>ComplianceAssetId</vt:lpwstr>
  </property>
  <property fmtid="{D5CDD505-2E9C-101B-9397-08002B2CF9AE}" pid="6" name="TemplateUrl">
    <vt:lpwstr>TemplateUrl</vt:lpwstr>
  </property>
  <property fmtid="{D5CDD505-2E9C-101B-9397-08002B2CF9AE}" pid="7" name="_ExtendedDescription">
    <vt:lpwstr>_ExtendedDescription</vt:lpwstr>
  </property>
  <property fmtid="{D5CDD505-2E9C-101B-9397-08002B2CF9AE}" pid="8" name="TriggerFlowInfo">
    <vt:lpwstr>TriggerFlowInfo</vt:lpwstr>
  </property>
  <property fmtid="{D5CDD505-2E9C-101B-9397-08002B2CF9AE}" pid="9" name="xd_Signature">
    <vt:lpwstr>false</vt:lpwstr>
  </property>
</Properties>
</file>